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66"/>
        <w:jc w:val="center"/>
        <w:rPr>
          <w:rStyle w:val="8"/>
          <w:rFonts w:ascii="宋体" w:hAnsi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Style w:val="8"/>
          <w:rFonts w:ascii="Verdana" w:hAnsi="Verdana"/>
          <w:color w:val="auto"/>
          <w:kern w:val="0"/>
          <w:sz w:val="32"/>
          <w:szCs w:val="32"/>
          <w:highlight w:val="none"/>
        </w:rPr>
        <w:t>845</w:t>
      </w:r>
      <w:r>
        <w:rPr>
          <w:rStyle w:val="8"/>
          <w:rFonts w:hint="eastAsia" w:ascii="Verdana" w:hAnsi="Verdana"/>
          <w:color w:val="auto"/>
          <w:kern w:val="0"/>
          <w:sz w:val="32"/>
          <w:szCs w:val="32"/>
          <w:highlight w:val="none"/>
        </w:rPr>
        <w:t>《西方经济学》考试大纲</w:t>
      </w:r>
    </w:p>
    <w:p>
      <w:pPr>
        <w:spacing w:line="360" w:lineRule="auto"/>
        <w:ind w:right="366"/>
        <w:jc w:val="center"/>
        <w:rPr>
          <w:rStyle w:val="8"/>
          <w:rFonts w:ascii="宋体" w:hAnsi="宋体" w:cs="宋体"/>
          <w:b/>
          <w:bCs/>
          <w:color w:val="auto"/>
          <w:kern w:val="0"/>
          <w:sz w:val="24"/>
          <w:szCs w:val="36"/>
          <w:highlight w:val="none"/>
        </w:rPr>
      </w:pPr>
    </w:p>
    <w:p>
      <w:pPr>
        <w:spacing w:line="360" w:lineRule="auto"/>
        <w:ind w:right="216"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“西方经济学”是应用经济学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学科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和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农林经济管理学科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硕士研究生入学考试科目。为帮助考生明确考试复</w:t>
      </w:r>
      <w:bookmarkStart w:id="0" w:name="_GoBack"/>
      <w:bookmarkEnd w:id="0"/>
      <w:r>
        <w:rPr>
          <w:rStyle w:val="8"/>
          <w:rFonts w:ascii="宋体" w:hAnsi="宋体"/>
          <w:color w:val="auto"/>
          <w:kern w:val="0"/>
          <w:sz w:val="24"/>
          <w:highlight w:val="none"/>
        </w:rPr>
        <w:t>习范围和有关要求，特制定本考试大纲。</w:t>
      </w:r>
    </w:p>
    <w:p>
      <w:pPr>
        <w:spacing w:line="360" w:lineRule="auto"/>
        <w:ind w:right="216"/>
        <w:jc w:val="left"/>
        <w:rPr>
          <w:rStyle w:val="8"/>
          <w:rFonts w:ascii="宋体" w:hAnsi="宋体" w:cs="宋体"/>
          <w:b/>
          <w:bCs/>
          <w:color w:val="auto"/>
          <w:kern w:val="0"/>
          <w:sz w:val="24"/>
          <w:szCs w:val="21"/>
          <w:highlight w:val="none"/>
        </w:rPr>
      </w:pPr>
      <w:r>
        <w:rPr>
          <w:rStyle w:val="8"/>
          <w:rFonts w:ascii="宋体" w:hAnsi="宋体"/>
          <w:b/>
          <w:color w:val="auto"/>
          <w:kern w:val="0"/>
          <w:sz w:val="24"/>
          <w:highlight w:val="none"/>
        </w:rPr>
        <w:t>一、</w:t>
      </w:r>
      <w:r>
        <w:rPr>
          <w:rStyle w:val="8"/>
          <w:rFonts w:ascii="宋体" w:hAnsi="宋体" w:cs="宋体"/>
          <w:b/>
          <w:bCs/>
          <w:color w:val="auto"/>
          <w:kern w:val="0"/>
          <w:sz w:val="24"/>
          <w:szCs w:val="21"/>
          <w:highlight w:val="none"/>
        </w:rPr>
        <w:t>考试内容</w:t>
      </w:r>
    </w:p>
    <w:p>
      <w:pPr>
        <w:spacing w:line="360" w:lineRule="auto"/>
        <w:ind w:right="216" w:firstLine="480" w:firstLineChars="200"/>
        <w:jc w:val="left"/>
        <w:rPr>
          <w:rStyle w:val="8"/>
          <w:rFonts w:ascii="宋体" w:hAnsi="宋体" w:cs="宋体"/>
          <w:bCs/>
          <w:color w:val="auto"/>
          <w:kern w:val="0"/>
          <w:sz w:val="24"/>
          <w:highlight w:val="none"/>
        </w:rPr>
      </w:pPr>
      <w:r>
        <w:rPr>
          <w:rStyle w:val="8"/>
          <w:rFonts w:ascii="宋体" w:hAnsi="宋体" w:cs="宋体"/>
          <w:bCs/>
          <w:color w:val="auto"/>
          <w:kern w:val="0"/>
          <w:sz w:val="24"/>
          <w:highlight w:val="none"/>
        </w:rPr>
        <w:t>微观</w:t>
      </w:r>
      <w:r>
        <w:rPr>
          <w:rStyle w:val="8"/>
          <w:rFonts w:hint="eastAsia" w:ascii="宋体" w:hAnsi="宋体" w:cs="宋体"/>
          <w:bCs/>
          <w:color w:val="auto"/>
          <w:kern w:val="0"/>
          <w:sz w:val="24"/>
          <w:highlight w:val="none"/>
        </w:rPr>
        <w:t>经济学</w:t>
      </w:r>
      <w:r>
        <w:rPr>
          <w:rStyle w:val="8"/>
          <w:rFonts w:ascii="宋体" w:hAnsi="宋体" w:cs="宋体"/>
          <w:bCs/>
          <w:color w:val="auto"/>
          <w:kern w:val="0"/>
          <w:sz w:val="24"/>
          <w:highlight w:val="none"/>
        </w:rPr>
        <w:t>部分约占60%，宏观</w:t>
      </w:r>
      <w:r>
        <w:rPr>
          <w:rStyle w:val="8"/>
          <w:rFonts w:hint="eastAsia" w:ascii="宋体" w:hAnsi="宋体" w:cs="宋体"/>
          <w:bCs/>
          <w:color w:val="auto"/>
          <w:kern w:val="0"/>
          <w:sz w:val="24"/>
          <w:highlight w:val="none"/>
        </w:rPr>
        <w:t>经济学</w:t>
      </w:r>
      <w:r>
        <w:rPr>
          <w:rStyle w:val="8"/>
          <w:rFonts w:ascii="宋体" w:hAnsi="宋体" w:cs="宋体"/>
          <w:bCs/>
          <w:color w:val="auto"/>
          <w:kern w:val="0"/>
          <w:sz w:val="24"/>
          <w:highlight w:val="none"/>
        </w:rPr>
        <w:t>部分约占40%。主要内容</w:t>
      </w:r>
      <w:r>
        <w:rPr>
          <w:rStyle w:val="8"/>
          <w:rFonts w:hint="eastAsia" w:ascii="宋体" w:hAnsi="宋体" w:cs="宋体"/>
          <w:bCs/>
          <w:color w:val="auto"/>
          <w:kern w:val="0"/>
          <w:sz w:val="24"/>
          <w:highlight w:val="none"/>
        </w:rPr>
        <w:t>如下。</w:t>
      </w:r>
    </w:p>
    <w:p>
      <w:pPr>
        <w:spacing w:line="360" w:lineRule="auto"/>
        <w:ind w:right="216"/>
        <w:jc w:val="left"/>
        <w:rPr>
          <w:rStyle w:val="8"/>
          <w:rFonts w:ascii="宋体" w:hAnsi="宋体" w:cs="宋体"/>
          <w:bCs/>
          <w:color w:val="auto"/>
          <w:kern w:val="0"/>
          <w:sz w:val="24"/>
          <w:highlight w:val="none"/>
        </w:rPr>
      </w:pPr>
      <w:r>
        <w:rPr>
          <w:rStyle w:val="8"/>
          <w:rFonts w:ascii="宋体" w:hAnsi="宋体" w:cs="宋体"/>
          <w:bCs/>
          <w:color w:val="auto"/>
          <w:kern w:val="0"/>
          <w:sz w:val="24"/>
          <w:highlight w:val="none"/>
        </w:rPr>
        <w:t>（一）微观经济学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1、需求、供给、供求原理、供求均衡分析、弹性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2、效用论：效用、边际效用分析、无差异曲线分析、消费者均衡、替代效应与收入效应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3、生产论：生产函数、边际产量分析、等产量曲线分析、一种要素的合理投入区间、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两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种要素的合理投入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区域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、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最优要素组合、边际报酬递减规律、规模报酬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4、成本论：短期成本、长期成本；规模经济与规模不经济；外在经济与外在不经济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5、市场论：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利润最大化原则；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完全竞争厂商的短期与长期均衡、完全竞争行业的短期与长期供给曲线；垄断厂商的短期与长期均衡、价格歧视；垄断竞争厂商的短期与长期均衡；寡头模型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6、博弈论：完全信息静态博弈、完全信息动态博弈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7、要素论：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要素使用原则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；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完全竞争厂商和市场的要素需求曲线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；要素供给原则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；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工资决定、地租决定、利息决定；洛伦茨曲线和基尼系数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8、局部均衡和一般均衡；消费者剩余、生产者剩余；帕累托最优；价格管制和商品税的福利效应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2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9、市场失灵与微观经济政策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 w:cs="宋体"/>
          <w:bCs/>
          <w:color w:val="auto"/>
          <w:kern w:val="0"/>
          <w:sz w:val="24"/>
          <w:highlight w:val="none"/>
        </w:rPr>
        <w:t>（二）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宏观经济学</w:t>
      </w:r>
    </w:p>
    <w:p>
      <w:pPr>
        <w:spacing w:line="360" w:lineRule="auto"/>
        <w:ind w:left="420" w:left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1、国民收入核算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left="420" w:left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2、国民收入的决定：收入—支出模型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left="420" w:left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3、国民收入的决定：IS—LM模型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left="420" w:left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4、国民收入的决定：AD-AS模型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left="420" w:left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5、失业与通货膨胀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left="420" w:left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6、宏观经济政策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left="420" w:left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7、国际经济的基本知识、汇率和对外贸易、国际收支平衡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left="420" w:left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8、经济增长和经济周期理论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right="216"/>
        <w:jc w:val="left"/>
        <w:rPr>
          <w:rStyle w:val="8"/>
          <w:rFonts w:ascii="宋体" w:hAnsi="宋体" w:cs="宋体"/>
          <w:b/>
          <w:bCs/>
          <w:color w:val="auto"/>
          <w:kern w:val="0"/>
          <w:sz w:val="24"/>
          <w:szCs w:val="21"/>
          <w:highlight w:val="none"/>
        </w:rPr>
      </w:pPr>
      <w:r>
        <w:rPr>
          <w:rStyle w:val="8"/>
          <w:rFonts w:ascii="宋体" w:hAnsi="宋体" w:cs="宋体"/>
          <w:b/>
          <w:bCs/>
          <w:color w:val="auto"/>
          <w:kern w:val="0"/>
          <w:sz w:val="24"/>
          <w:szCs w:val="21"/>
          <w:highlight w:val="none"/>
        </w:rPr>
        <w:t>二、考试要求</w:t>
      </w:r>
    </w:p>
    <w:p>
      <w:pPr>
        <w:spacing w:line="360" w:lineRule="auto"/>
        <w:ind w:right="6" w:firstLine="480" w:firstLineChars="20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学生应全面掌握西方经济学的基本概念、重要定理的推导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和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分析计算，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能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够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运用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西方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经济学的基本知识分析和说明现实中的经济问题。</w:t>
      </w:r>
    </w:p>
    <w:p>
      <w:pPr>
        <w:spacing w:line="360" w:lineRule="auto"/>
        <w:ind w:right="216"/>
        <w:jc w:val="left"/>
        <w:rPr>
          <w:rStyle w:val="8"/>
          <w:rFonts w:ascii="宋体" w:hAnsi="宋体" w:cs="宋体"/>
          <w:b/>
          <w:bCs/>
          <w:color w:val="auto"/>
          <w:kern w:val="0"/>
          <w:sz w:val="24"/>
          <w:szCs w:val="21"/>
          <w:highlight w:val="none"/>
        </w:rPr>
      </w:pPr>
      <w:r>
        <w:rPr>
          <w:rStyle w:val="8"/>
          <w:rFonts w:ascii="宋体" w:hAnsi="宋体" w:cs="宋体"/>
          <w:b/>
          <w:bCs/>
          <w:color w:val="auto"/>
          <w:kern w:val="0"/>
          <w:sz w:val="24"/>
          <w:szCs w:val="21"/>
          <w:highlight w:val="none"/>
        </w:rPr>
        <w:t>三、考试题型</w:t>
      </w:r>
    </w:p>
    <w:p>
      <w:pPr>
        <w:tabs>
          <w:tab w:val="left" w:pos="360"/>
        </w:tabs>
        <w:spacing w:line="360" w:lineRule="auto"/>
        <w:ind w:left="780" w:leftChars="200" w:right="216" w:rightChars="103" w:hanging="36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1．简答题</w:t>
      </w:r>
    </w:p>
    <w:p>
      <w:pPr>
        <w:tabs>
          <w:tab w:val="left" w:pos="360"/>
        </w:tabs>
        <w:spacing w:line="360" w:lineRule="auto"/>
        <w:ind w:left="780" w:leftChars="200" w:right="216" w:rightChars="103" w:hanging="36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2. 作图分析题</w:t>
      </w:r>
    </w:p>
    <w:p>
      <w:pPr>
        <w:tabs>
          <w:tab w:val="left" w:pos="360"/>
        </w:tabs>
        <w:spacing w:line="360" w:lineRule="auto"/>
        <w:ind w:left="780" w:leftChars="200" w:right="216" w:rightChars="103" w:hanging="360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3．计算分析题</w:t>
      </w:r>
    </w:p>
    <w:p>
      <w:pPr>
        <w:tabs>
          <w:tab w:val="left" w:pos="360"/>
        </w:tabs>
        <w:spacing w:line="360" w:lineRule="auto"/>
        <w:ind w:left="780" w:leftChars="200" w:right="216" w:rightChars="103" w:hanging="360"/>
        <w:jc w:val="left"/>
        <w:rPr>
          <w:rStyle w:val="8"/>
          <w:rFonts w:ascii="宋体" w:hAnsi="宋体"/>
          <w:b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4．论述题</w:t>
      </w:r>
    </w:p>
    <w:p>
      <w:pPr>
        <w:spacing w:line="360" w:lineRule="auto"/>
        <w:ind w:right="215"/>
        <w:jc w:val="left"/>
        <w:rPr>
          <w:rStyle w:val="8"/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b/>
          <w:color w:val="auto"/>
          <w:kern w:val="0"/>
          <w:sz w:val="24"/>
          <w:highlight w:val="none"/>
        </w:rPr>
        <w:t>四</w:t>
      </w:r>
      <w:r>
        <w:rPr>
          <w:rStyle w:val="8"/>
          <w:rFonts w:ascii="宋体" w:hAnsi="宋体" w:cs="宋体"/>
          <w:b/>
          <w:bCs/>
          <w:color w:val="auto"/>
          <w:kern w:val="0"/>
          <w:sz w:val="24"/>
          <w:highlight w:val="none"/>
        </w:rPr>
        <w:t>、主要参考书</w:t>
      </w:r>
    </w:p>
    <w:p>
      <w:pPr>
        <w:numPr>
          <w:ilvl w:val="0"/>
          <w:numId w:val="1"/>
        </w:numPr>
        <w:spacing w:line="360" w:lineRule="auto"/>
        <w:ind w:right="216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高鸿业主编.西方经济学（第七版）.北京：中国人民大学出版社，2018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right="216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《西方经济学》编写组.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 xml:space="preserve"> 西方经济学（第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二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版）.北京：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高等教育出版社，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2019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。（属于马克思主义理论研究与建设工程重点教材）</w:t>
      </w:r>
    </w:p>
    <w:p>
      <w:pPr>
        <w:numPr>
          <w:ilvl w:val="0"/>
          <w:numId w:val="1"/>
        </w:numPr>
        <w:spacing w:line="360" w:lineRule="auto"/>
        <w:ind w:right="216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曼昆 著.梁小民，梁砾 译.经济学原理（第七版）.北京：北京大学出版社，2015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right="216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平狄克，鲁宾费尔德 著.李彬 等译.微观经济学（第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九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版）.北京：中国人民大学出版社，20</w:t>
      </w:r>
      <w:r>
        <w:rPr>
          <w:rStyle w:val="8"/>
          <w:rFonts w:ascii="宋体" w:hAnsi="宋体"/>
          <w:color w:val="auto"/>
          <w:kern w:val="0"/>
          <w:sz w:val="24"/>
          <w:highlight w:val="none"/>
        </w:rPr>
        <w:t>20</w:t>
      </w:r>
      <w:r>
        <w:rPr>
          <w:rStyle w:val="8"/>
          <w:rFonts w:hint="eastAsia" w:ascii="宋体" w:hAnsi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right="216"/>
        <w:jc w:val="left"/>
        <w:rPr>
          <w:rStyle w:val="8"/>
          <w:rFonts w:ascii="宋体" w:hAnsi="宋体"/>
          <w:color w:val="auto"/>
          <w:kern w:val="0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3796D"/>
    <w:multiLevelType w:val="multilevel"/>
    <w:tmpl w:val="2213796D"/>
    <w:lvl w:ilvl="0" w:tentative="0">
      <w:start w:val="1"/>
      <w:numFmt w:val="decimal"/>
      <w:lvlText w:val="%1."/>
      <w:lvlJc w:val="left"/>
      <w:pPr>
        <w:widowControl/>
        <w:ind w:left="840" w:hanging="42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ind w:left="126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ind w:left="168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210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252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294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336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378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420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GM4MWEzMzEzNWU4NzZjMWI1OTBjZWMzNDQyYTAxZjIifQ=="/>
  </w:docVars>
  <w:rsids>
    <w:rsidRoot w:val="00947496"/>
    <w:rsid w:val="000717AA"/>
    <w:rsid w:val="000A7783"/>
    <w:rsid w:val="000E65D0"/>
    <w:rsid w:val="00117868"/>
    <w:rsid w:val="00157EAD"/>
    <w:rsid w:val="001F759A"/>
    <w:rsid w:val="00230E56"/>
    <w:rsid w:val="00234C0E"/>
    <w:rsid w:val="002359BE"/>
    <w:rsid w:val="002735C7"/>
    <w:rsid w:val="00284F28"/>
    <w:rsid w:val="002C66EA"/>
    <w:rsid w:val="00334964"/>
    <w:rsid w:val="0036371A"/>
    <w:rsid w:val="00364ACD"/>
    <w:rsid w:val="00367210"/>
    <w:rsid w:val="003C11AC"/>
    <w:rsid w:val="004226BC"/>
    <w:rsid w:val="0043400E"/>
    <w:rsid w:val="00437772"/>
    <w:rsid w:val="00474528"/>
    <w:rsid w:val="004A0C0D"/>
    <w:rsid w:val="004A239B"/>
    <w:rsid w:val="004A7BF7"/>
    <w:rsid w:val="005832C9"/>
    <w:rsid w:val="00593E4F"/>
    <w:rsid w:val="00597E4D"/>
    <w:rsid w:val="006342AA"/>
    <w:rsid w:val="00651210"/>
    <w:rsid w:val="006A37B8"/>
    <w:rsid w:val="00704289"/>
    <w:rsid w:val="00711273"/>
    <w:rsid w:val="007D6A44"/>
    <w:rsid w:val="00911D7E"/>
    <w:rsid w:val="00924BCA"/>
    <w:rsid w:val="00947496"/>
    <w:rsid w:val="00AE3518"/>
    <w:rsid w:val="00AE38DD"/>
    <w:rsid w:val="00AE6321"/>
    <w:rsid w:val="00B51EE7"/>
    <w:rsid w:val="00B865BC"/>
    <w:rsid w:val="00C067A5"/>
    <w:rsid w:val="00C11793"/>
    <w:rsid w:val="00D4218D"/>
    <w:rsid w:val="00F21718"/>
    <w:rsid w:val="783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UserStyle_0"/>
    <w:qFormat/>
    <w:uiPriority w:val="0"/>
    <w:rPr>
      <w:rFonts w:ascii="Arial" w:hAnsi="Arial" w:cs="Arial"/>
      <w:b/>
      <w:bCs/>
      <w:color w:val="000000"/>
    </w:rPr>
  </w:style>
  <w:style w:type="character" w:customStyle="1" w:styleId="12">
    <w:name w:val="UserStyle_1"/>
    <w:qFormat/>
    <w:uiPriority w:val="0"/>
    <w:rPr>
      <w:rFonts w:ascii="Arial" w:hAnsi="Arial" w:cs="Arial"/>
      <w:b/>
      <w:bCs/>
      <w:color w:val="B9CFF3"/>
    </w:rPr>
  </w:style>
  <w:style w:type="character" w:customStyle="1" w:styleId="13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938</Characters>
  <Lines>6</Lines>
  <Paragraphs>1</Paragraphs>
  <TotalTime>21</TotalTime>
  <ScaleCrop>false</ScaleCrop>
  <LinksUpToDate>false</LinksUpToDate>
  <CharactersWithSpaces>944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2022-09-16T04:23:00Z</dcterms:created>
  <dc:creator>Thinkpad</dc:creator>
  <cp:lastModifiedBy>zbc</cp:lastModifiedBy>
  <dcterms:modified xsi:type="dcterms:W3CDTF">2022-09-22T00:27:58Z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4B223B153E8E45B39422FFF85F022637</vt:lpwstr>
  </property>
</Properties>
</file>